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52"/>
          <w:szCs w:val="52"/>
        </w:rPr>
      </w:pPr>
      <w:r>
        <w:rPr>
          <w:rFonts w:ascii="Arial" w:hAnsi="Arial" w:cs="Arial"/>
          <w:color w:val="353535"/>
          <w:sz w:val="52"/>
          <w:szCs w:val="52"/>
        </w:rPr>
        <w:t>Mal di Schiena - Clinica e Linee Guida terapeutiche 2017</w:t>
      </w:r>
    </w:p>
    <w:p w:rsidR="005D22F4" w:rsidRPr="005D22F4" w:rsidRDefault="005D22F4" w:rsidP="005D22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5454"/>
          <w:sz w:val="28"/>
          <w:szCs w:val="28"/>
        </w:rPr>
      </w:pPr>
      <w:r>
        <w:rPr>
          <w:rFonts w:ascii="Arial" w:hAnsi="Arial" w:cs="Arial"/>
          <w:color w:val="545454"/>
          <w:kern w:val="1"/>
          <w:sz w:val="28"/>
          <w:szCs w:val="28"/>
        </w:rPr>
        <w:tab/>
      </w:r>
      <w:r>
        <w:rPr>
          <w:rFonts w:ascii="Arial" w:hAnsi="Arial" w:cs="Arial"/>
          <w:color w:val="545454"/>
          <w:kern w:val="1"/>
          <w:sz w:val="28"/>
          <w:szCs w:val="28"/>
        </w:rPr>
        <w:tab/>
      </w:r>
    </w:p>
    <w:p w:rsidR="005D22F4" w:rsidRDefault="005D22F4" w:rsidP="005D22F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545454"/>
          <w:sz w:val="28"/>
          <w:szCs w:val="28"/>
        </w:rPr>
      </w:pPr>
      <w:r>
        <w:rPr>
          <w:rFonts w:ascii="Arial" w:hAnsi="Arial" w:cs="Arial"/>
          <w:color w:val="545454"/>
          <w:kern w:val="1"/>
          <w:sz w:val="28"/>
          <w:szCs w:val="28"/>
        </w:rPr>
        <w:tab/>
      </w:r>
      <w:proofErr w:type="gramStart"/>
      <w:r>
        <w:rPr>
          <w:rFonts w:ascii="Arial" w:hAnsi="Arial" w:cs="Arial"/>
          <w:color w:val="545454"/>
          <w:kern w:val="1"/>
          <w:sz w:val="28"/>
          <w:szCs w:val="28"/>
        </w:rPr>
        <w:t>tratto</w:t>
      </w:r>
      <w:proofErr w:type="gramEnd"/>
      <w:r>
        <w:rPr>
          <w:rFonts w:ascii="Arial" w:hAnsi="Arial" w:cs="Arial"/>
          <w:color w:val="545454"/>
          <w:kern w:val="1"/>
          <w:sz w:val="28"/>
          <w:szCs w:val="28"/>
        </w:rPr>
        <w:t xml:space="preserve"> da </w:t>
      </w:r>
      <w:proofErr w:type="spellStart"/>
      <w:r>
        <w:rPr>
          <w:rFonts w:ascii="Arial" w:hAnsi="Arial" w:cs="Arial"/>
          <w:color w:val="545454"/>
          <w:kern w:val="1"/>
          <w:sz w:val="28"/>
          <w:szCs w:val="28"/>
        </w:rPr>
        <w:t>Univadis</w:t>
      </w:r>
      <w:proofErr w:type="spellEnd"/>
      <w:r>
        <w:rPr>
          <w:rFonts w:ascii="Arial" w:hAnsi="Arial" w:cs="Arial"/>
          <w:color w:val="545454"/>
          <w:kern w:val="1"/>
          <w:sz w:val="28"/>
          <w:szCs w:val="28"/>
        </w:rPr>
        <w:tab/>
      </w:r>
    </w:p>
    <w:p w:rsidR="005D22F4" w:rsidRDefault="005D22F4" w:rsidP="005D22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5454"/>
          <w:sz w:val="28"/>
          <w:szCs w:val="28"/>
        </w:rPr>
      </w:pPr>
      <w:r>
        <w:rPr>
          <w:rFonts w:ascii="Arial" w:hAnsi="Arial" w:cs="Arial"/>
          <w:color w:val="545454"/>
          <w:kern w:val="1"/>
          <w:sz w:val="28"/>
          <w:szCs w:val="28"/>
        </w:rPr>
        <w:tab/>
      </w:r>
      <w:r>
        <w:rPr>
          <w:rFonts w:ascii="Arial" w:hAnsi="Arial" w:cs="Arial"/>
          <w:color w:val="545454"/>
          <w:kern w:val="1"/>
          <w:sz w:val="28"/>
          <w:szCs w:val="28"/>
        </w:rPr>
        <w:tab/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A cura di:</w:t>
      </w:r>
      <w:proofErr w:type="gramStart"/>
      <w:r>
        <w:rPr>
          <w:rFonts w:ascii="Arial" w:hAnsi="Arial" w:cs="Arial"/>
          <w:color w:val="343434"/>
          <w:sz w:val="28"/>
          <w:szCs w:val="28"/>
        </w:rPr>
        <w:t xml:space="preserve">  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Paolo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Spriano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e Marco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Cambielli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- MMG Milano e Varese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proofErr w:type="spellStart"/>
      <w:r>
        <w:rPr>
          <w:rFonts w:ascii="Arial" w:hAnsi="Arial" w:cs="Arial"/>
          <w:color w:val="343434"/>
          <w:sz w:val="28"/>
          <w:szCs w:val="28"/>
        </w:rPr>
        <w:t>Key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words</w:t>
      </w:r>
      <w:proofErr w:type="spellEnd"/>
      <w:r>
        <w:rPr>
          <w:rFonts w:ascii="Arial" w:hAnsi="Arial" w:cs="Arial"/>
          <w:color w:val="343434"/>
          <w:sz w:val="28"/>
          <w:szCs w:val="28"/>
        </w:rPr>
        <w:t>:</w:t>
      </w:r>
      <w:proofErr w:type="gramStart"/>
      <w:r>
        <w:rPr>
          <w:rFonts w:ascii="Arial" w:hAnsi="Arial" w:cs="Arial"/>
          <w:color w:val="343434"/>
          <w:sz w:val="28"/>
          <w:szCs w:val="28"/>
        </w:rPr>
        <w:t xml:space="preserve">  </w:t>
      </w:r>
      <w:proofErr w:type="gramEnd"/>
      <w:r>
        <w:rPr>
          <w:rFonts w:ascii="Arial" w:hAnsi="Arial" w:cs="Arial"/>
          <w:color w:val="343434"/>
          <w:sz w:val="28"/>
          <w:szCs w:val="28"/>
        </w:rPr>
        <w:t>linee guida, terapia, medicina generale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bookmarkStart w:id="0" w:name="_GoBack"/>
      <w:bookmarkEnd w:id="0"/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Il mal di schiena (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MdS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) rappresenta una condizione comune che ogni giorno affligge il 5.6% della popolazione adulta degli Stati Uniti così come in Europa. Spesso i pazienti si trattano da soli e solo il 25-30% si rivolge al proprio medico di famiglia (MMG). L’obiettivo primario del trattamento è rappresentato da una riduzione del dolore che permette al paziente di ritornare il più rapidamente possibile alla sua normale attività lavorativa quotidiana.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Quasi sempre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il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MdS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è gestito direttamente dal MMG senza ulteriori richieste di consulenze dell’ortopedico, del fisiatra  o del neurochirurgo.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Questa condizione, nel 70% dei casi, è causata da una contrattura dolorosa secondaria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ad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un trauma distorsivo dei muscoli paravertebrali lombari e solo marginalmente da altre condizioni che comunque vanno considerate in diagnosi differenziale. La storia naturale del mal di schiena generalmente ha un decorso favorevole, con il 30-60% dei pazienti che guariscono in una settimana, 60-90% in sei settimane e 95% in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12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settimane. Nell’arco di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6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mesi nel 40% dei pazienti si presentano recidive o episodi ricorrenti di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MdS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Nel contesto dell’</w:t>
      </w:r>
      <w:proofErr w:type="spellStart"/>
      <w:proofErr w:type="gramEnd"/>
      <w:r>
        <w:rPr>
          <w:rFonts w:ascii="Arial" w:hAnsi="Arial" w:cs="Arial"/>
          <w:color w:val="343434"/>
          <w:sz w:val="28"/>
          <w:szCs w:val="28"/>
        </w:rPr>
        <w:t>evolutività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temporale, le sei settimane di durata dei sintomi sembrano definire un’ideale linea di confine tra un banale mal di schiena gestibile con terapia conservativa e una problema più complesso, meritevole di un approfondimento diagnostico-terapeutico (1).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L’esame fisico è in grado di discriminare i soggetti che richiedono una valutazione immediata nel sospetto di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 xml:space="preserve">una 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indicazione chirurgica urgente, come i pazienti con sindrome della coda equina, sciatalgia bilaterale e progressivo deficit neurologico periferico con interessamento degli sfinteri.  E’ importante saper individuare fra la quasi totalità di casi banali i casi critici attribuibili a un mal di schiena da </w:t>
      </w:r>
      <w:r>
        <w:rPr>
          <w:rFonts w:ascii="Arial" w:hAnsi="Arial" w:cs="Arial"/>
          <w:i/>
          <w:iCs/>
          <w:color w:val="343434"/>
          <w:sz w:val="28"/>
          <w:szCs w:val="28"/>
        </w:rPr>
        <w:t>“codice rosso”</w:t>
      </w:r>
      <w:proofErr w:type="gramStart"/>
      <w:r>
        <w:rPr>
          <w:rFonts w:ascii="Arial" w:hAnsi="Arial" w:cs="Arial"/>
          <w:color w:val="343434"/>
          <w:sz w:val="28"/>
          <w:szCs w:val="28"/>
        </w:rPr>
        <w:t xml:space="preserve">  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e prendere una decisione corretta e tempestiva. Solo il 4% dei soggetti con sciatalgia ha un’ernia del disco intervertebrale, mentre il 2% presenta gradi variabili di spondilolistesi. Il 95% di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coloro che hanno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un’ernia del disco hanno una sciatalgia e la probabilità che un disco erniato sintomatico dia solo mal di schiena senza sintomi di sciatica è di 1 a 500.  Quindi il tipo di dolore è un sintomo che identifica con buona accuratezza una sofferenza radicolare lombo-sacrale secondaria all’ernia del </w:t>
      </w:r>
      <w:r>
        <w:rPr>
          <w:rFonts w:ascii="Arial" w:hAnsi="Arial" w:cs="Arial"/>
          <w:color w:val="343434"/>
          <w:sz w:val="28"/>
          <w:szCs w:val="28"/>
        </w:rPr>
        <w:lastRenderedPageBreak/>
        <w:t>disco intervertebrale</w:t>
      </w:r>
      <w:proofErr w:type="gramStart"/>
      <w:r>
        <w:rPr>
          <w:rFonts w:ascii="Arial" w:hAnsi="Arial" w:cs="Arial"/>
          <w:color w:val="343434"/>
          <w:sz w:val="28"/>
          <w:szCs w:val="28"/>
        </w:rPr>
        <w:t xml:space="preserve"> .</w:t>
      </w:r>
      <w:proofErr w:type="gramEnd"/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L’approccio al trattamento non invasivo del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MdS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è stato oggetto della pubblicazione delle nuove linee guida 2017 (</w:t>
      </w:r>
      <w:r>
        <w:rPr>
          <w:rFonts w:ascii="Arial" w:hAnsi="Arial" w:cs="Arial"/>
          <w:b/>
          <w:bCs/>
          <w:color w:val="343434"/>
          <w:sz w:val="28"/>
          <w:szCs w:val="28"/>
        </w:rPr>
        <w:t>2</w:t>
      </w:r>
      <w:r>
        <w:rPr>
          <w:rFonts w:ascii="Arial" w:hAnsi="Arial" w:cs="Arial"/>
          <w:color w:val="343434"/>
          <w:sz w:val="28"/>
          <w:szCs w:val="28"/>
        </w:rPr>
        <w:t>) redatte dall’</w:t>
      </w:r>
      <w:r>
        <w:rPr>
          <w:rFonts w:ascii="Arial" w:hAnsi="Arial" w:cs="Arial"/>
          <w:i/>
          <w:iCs/>
          <w:color w:val="343434"/>
          <w:sz w:val="28"/>
          <w:szCs w:val="28"/>
        </w:rPr>
        <w:t xml:space="preserve">American College of </w:t>
      </w:r>
      <w:proofErr w:type="spellStart"/>
      <w:r>
        <w:rPr>
          <w:rFonts w:ascii="Arial" w:hAnsi="Arial" w:cs="Arial"/>
          <w:i/>
          <w:iCs/>
          <w:color w:val="343434"/>
          <w:sz w:val="28"/>
          <w:szCs w:val="28"/>
        </w:rPr>
        <w:t>Physicians</w:t>
      </w:r>
      <w:proofErr w:type="spellEnd"/>
      <w:r>
        <w:rPr>
          <w:rFonts w:ascii="Arial" w:hAnsi="Arial" w:cs="Arial"/>
          <w:i/>
          <w:iCs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 xml:space="preserve">(ACP) con lo scopo di fornire indicazioni, sulla base dell’efficacia, efficacia comparativa e la sicurezza riguardo ai trattamenti farmacologici e ai trattamenti non farmacologici per la lombalgia in fase acuta (&lt;4 settimane), subacuta (da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4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a 12 settimane) e cronica (&gt; 12 settimane) gestita nel contesto delle cure primarie. Le raccomandazioni di maggior rilievo sono applicabili nella pratica clinica dei MMG con particolare attenzione al trattamento conservativo.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Nello specifico la terapia di prima linea dovrebbe prevedere le terapie non farmacologiche. Gli antinfiammatori non steroidei (FANS) e/o i miorilassanti dovrebbero essere utilizzati quando l’approccio non farmacologico è inefficace e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viene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scoraggiato in prima battuta l'uso di oppioidi.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Dall’analisi delle evidenze disponibili è emerso che: nessuna terapia è stata nettamente migliore rispetto alle altre; si sono evidenziate nuove prove a supporto del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tai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chi nel dolore lombo-sacrale cronico e dell'agopuntura nel dolore lombo-sacrale acuto; nuove prove suggeriscono la mancanza di beneficio per l’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acetaminofene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nel dolore lombo-sacrale acuto e supportano l'uso di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duloxetina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nella lombalgia cronica; gli antidepressivi triciclici non sembrano essere migliori del placebo. In generale l’efficacia degli interventi sul dolore è modesta o lieve e generalmente essa è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a breve termine</w:t>
      </w:r>
      <w:proofErr w:type="gramEnd"/>
      <w:r>
        <w:rPr>
          <w:rFonts w:ascii="Arial" w:hAnsi="Arial" w:cs="Arial"/>
          <w:color w:val="343434"/>
          <w:sz w:val="28"/>
          <w:szCs w:val="28"/>
        </w:rPr>
        <w:t>.</w:t>
      </w:r>
    </w:p>
    <w:p w:rsidR="005D22F4" w:rsidRDefault="005D22F4" w:rsidP="005D22F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In sintesi le raccomandazioni forti delle linee guida ACP 2017 sono le seguenti:</w:t>
      </w:r>
    </w:p>
    <w:p w:rsidR="005D22F4" w:rsidRDefault="005D22F4" w:rsidP="005D22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 xml:space="preserve">La maggior parte dei pazienti con dolore lombare acuto può migliorare nel tempo indipendentemente dal trattamento e può evitare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trattamenti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potenzialmente dannosi e test.</w:t>
      </w:r>
    </w:p>
    <w:p w:rsidR="005D22F4" w:rsidRDefault="005D22F4" w:rsidP="005D22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La terapia di prima linea dovrebbe includere la terapia non farmacologica, come il calore superficiale (prove di qualità moderata), i massaggi, l’agopuntura o le manipolazioni al rachide LS (prove di bassa qualità).</w:t>
      </w:r>
    </w:p>
    <w:p w:rsidR="005D22F4" w:rsidRDefault="005D22F4" w:rsidP="005D22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 xml:space="preserve">Quando la terapia non farmacologica fallisce, sono da considerare i FANS o i farmaci mio-rilassanti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a breve termine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(prove di moderata qualità).Gli steroidi sistemici non sembrano essere efficaci. Occorre considerare le possibili reazioni avverse ai diversi farmaci usati.</w:t>
      </w:r>
    </w:p>
    <w:p w:rsidR="005D22F4" w:rsidRDefault="005D22F4" w:rsidP="005D22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proofErr w:type="gramStart"/>
      <w:r>
        <w:rPr>
          <w:rFonts w:ascii="Arial" w:hAnsi="Arial" w:cs="Arial"/>
          <w:color w:val="343434"/>
          <w:sz w:val="28"/>
          <w:szCs w:val="28"/>
        </w:rPr>
        <w:t xml:space="preserve">Per il dolore lombare cronico, considerare la terapia non farmacologica, come: esercizio fisico moderato, riabilitazione, agopuntura (prova 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di moderata qualità),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tai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chi, yoga, esercizi di controllo del movimento, rilassamento progressivo,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biofeed</w:t>
      </w:r>
      <w:proofErr w:type="spellEnd"/>
      <w:r>
        <w:rPr>
          <w:rFonts w:ascii="Arial" w:hAnsi="Arial" w:cs="Arial"/>
          <w:color w:val="343434"/>
          <w:sz w:val="28"/>
          <w:szCs w:val="28"/>
        </w:rPr>
        <w:t>-back, terapia laser a bassa intensità, terapia cognitivo-comportamentale o manipolazione spinale (prova di bassa qualità).</w:t>
      </w:r>
    </w:p>
    <w:p w:rsidR="005D22F4" w:rsidRDefault="005D22F4" w:rsidP="005D22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 xml:space="preserve">Per la lombalgia cronica che non risponde alla terapia non farmacologica, considerare i FANS come terapia di prima linea. Per la seconda linea, sono da considerare il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tramadolo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o la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duloxetina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. Le benzodiazepine non hanno alcun effetto sulle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radiculopatie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Tenere in debito conto le possibili reazioni avverse dei vari farmaci somministrati</w:t>
      </w:r>
      <w:proofErr w:type="gramEnd"/>
      <w:r>
        <w:rPr>
          <w:rFonts w:ascii="Arial" w:hAnsi="Arial" w:cs="Arial"/>
          <w:color w:val="343434"/>
          <w:sz w:val="28"/>
          <w:szCs w:val="28"/>
        </w:rPr>
        <w:t>. Valutare l’impiego degli oppioidi solo in quei pazienti dove la terapia farmacologica di prima e di seconda linea non è stata efficace, tenendo presente che i rischi superano i benefici e solo dopo averne discusso con il paziente.</w:t>
      </w:r>
    </w:p>
    <w:p w:rsidR="006C6755" w:rsidRDefault="006C6755"/>
    <w:sectPr w:rsidR="006C6755" w:rsidSect="00DC4A2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F4"/>
    <w:rsid w:val="005D22F4"/>
    <w:rsid w:val="006C6755"/>
    <w:rsid w:val="008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44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4914</Characters>
  <Application>Microsoft Macintosh Word</Application>
  <DocSecurity>0</DocSecurity>
  <Lines>40</Lines>
  <Paragraphs>11</Paragraphs>
  <ScaleCrop>false</ScaleCrop>
  <Company>rtfl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Uliano</dc:creator>
  <cp:keywords/>
  <dc:description/>
  <cp:lastModifiedBy>Domenico Uliano</cp:lastModifiedBy>
  <cp:revision>1</cp:revision>
  <dcterms:created xsi:type="dcterms:W3CDTF">2017-04-01T05:41:00Z</dcterms:created>
  <dcterms:modified xsi:type="dcterms:W3CDTF">2017-04-01T05:44:00Z</dcterms:modified>
</cp:coreProperties>
</file>